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216" w:rsidRDefault="00E60216" w:rsidP="00E60216">
      <w:pPr>
        <w:spacing w:after="0" w:line="240" w:lineRule="auto"/>
        <w:ind w:left="8789" w:firstLine="708"/>
        <w:jc w:val="both"/>
        <w:rPr>
          <w:rFonts w:ascii="Times New Roman" w:eastAsia="Calibri" w:hAnsi="Times New Roman" w:cs="Times New Roman"/>
          <w:bCs/>
          <w:sz w:val="24"/>
          <w:szCs w:val="24"/>
        </w:rPr>
      </w:pPr>
      <w:r w:rsidRPr="00A76466">
        <w:rPr>
          <w:rFonts w:ascii="Times New Roman" w:eastAsia="Calibri" w:hAnsi="Times New Roman" w:cs="Times New Roman"/>
          <w:bCs/>
          <w:sz w:val="24"/>
          <w:szCs w:val="24"/>
        </w:rPr>
        <w:t xml:space="preserve">Приложение </w:t>
      </w:r>
      <w:r>
        <w:rPr>
          <w:rFonts w:ascii="Times New Roman" w:eastAsia="Calibri" w:hAnsi="Times New Roman" w:cs="Times New Roman"/>
          <w:bCs/>
          <w:sz w:val="24"/>
          <w:szCs w:val="24"/>
        </w:rPr>
        <w:t>1</w:t>
      </w:r>
    </w:p>
    <w:p w:rsidR="00E60216" w:rsidRDefault="00E60216" w:rsidP="00E60216">
      <w:pPr>
        <w:tabs>
          <w:tab w:val="left" w:pos="3868"/>
        </w:tabs>
        <w:spacing w:after="0" w:line="240" w:lineRule="auto"/>
        <w:ind w:left="9497"/>
        <w:rPr>
          <w:rFonts w:ascii="Times New Roman" w:hAnsi="Times New Roman" w:cs="Times New Roman"/>
          <w:sz w:val="28"/>
          <w:szCs w:val="28"/>
        </w:rPr>
      </w:pPr>
      <w:r>
        <w:rPr>
          <w:rFonts w:ascii="Times New Roman" w:eastAsia="Calibri" w:hAnsi="Times New Roman" w:cs="Times New Roman"/>
          <w:bCs/>
          <w:sz w:val="24"/>
          <w:szCs w:val="24"/>
        </w:rPr>
        <w:t xml:space="preserve">к </w:t>
      </w:r>
      <w:r>
        <w:rPr>
          <w:rFonts w:ascii="Times New Roman" w:eastAsia="Times New Roman" w:hAnsi="Times New Roman" w:cs="Times New Roman"/>
          <w:bCs/>
          <w:color w:val="000000"/>
          <w:sz w:val="24"/>
          <w:szCs w:val="24"/>
          <w:lang w:bidi="en-US"/>
        </w:rPr>
        <w:t xml:space="preserve">объявлению о приеме документов для участия в конкурсе на замещение вакантной должности государственной гражданской службы Донецкой Народной Республики в Государственном комитете по экологической политике и природным ресурсам при Главе Донецкой Народной Республики. </w:t>
      </w:r>
    </w:p>
    <w:p w:rsidR="00E60216" w:rsidRDefault="00E60216" w:rsidP="00E60216">
      <w:pPr>
        <w:tabs>
          <w:tab w:val="left" w:pos="4953"/>
        </w:tabs>
        <w:spacing w:after="0" w:line="240" w:lineRule="auto"/>
        <w:jc w:val="center"/>
        <w:rPr>
          <w:rFonts w:ascii="Times New Roman" w:hAnsi="Times New Roman"/>
          <w:b/>
          <w:bCs/>
          <w:sz w:val="24"/>
          <w:szCs w:val="24"/>
        </w:rPr>
      </w:pPr>
    </w:p>
    <w:p w:rsidR="00E60216" w:rsidRDefault="00E60216" w:rsidP="00E60216">
      <w:pPr>
        <w:tabs>
          <w:tab w:val="left" w:pos="4953"/>
        </w:tabs>
        <w:spacing w:after="0" w:line="240" w:lineRule="auto"/>
        <w:jc w:val="center"/>
        <w:rPr>
          <w:rFonts w:ascii="Times New Roman" w:hAnsi="Times New Roman"/>
          <w:b/>
          <w:bCs/>
          <w:sz w:val="24"/>
          <w:szCs w:val="24"/>
        </w:rPr>
      </w:pPr>
    </w:p>
    <w:p w:rsidR="00E60216" w:rsidRDefault="00E60216" w:rsidP="00E60216">
      <w:pPr>
        <w:tabs>
          <w:tab w:val="left" w:pos="4953"/>
        </w:tabs>
        <w:spacing w:after="0" w:line="240" w:lineRule="auto"/>
        <w:jc w:val="center"/>
        <w:rPr>
          <w:rFonts w:ascii="Times New Roman" w:hAnsi="Times New Roman"/>
          <w:b/>
          <w:bCs/>
          <w:sz w:val="24"/>
          <w:szCs w:val="24"/>
        </w:rPr>
      </w:pPr>
    </w:p>
    <w:p w:rsidR="00E60216" w:rsidRDefault="00E60216" w:rsidP="00E60216">
      <w:pPr>
        <w:tabs>
          <w:tab w:val="left" w:pos="3868"/>
        </w:tabs>
        <w:jc w:val="center"/>
        <w:rPr>
          <w:rFonts w:ascii="Times New Roman" w:hAnsi="Times New Roman" w:cs="Times New Roman"/>
          <w:b/>
          <w:sz w:val="28"/>
          <w:szCs w:val="28"/>
        </w:rPr>
      </w:pPr>
      <w:r>
        <w:rPr>
          <w:rFonts w:ascii="Times New Roman" w:hAnsi="Times New Roman" w:cs="Times New Roman"/>
          <w:b/>
          <w:sz w:val="28"/>
          <w:szCs w:val="28"/>
        </w:rPr>
        <w:t>Квалификационные требования к знаниям и умениям, необходимым для исполнения обязанностей государственными гражданскими служащими Донецкой Народной Республики, замещающими должности государственной гражданской службы Донецкой Народной Республики в Государственном комитете по экологической политике и природным ресурсами при Главе Донецкой Народной Республики</w:t>
      </w:r>
    </w:p>
    <w:p w:rsidR="00E60216" w:rsidRDefault="00E60216" w:rsidP="001148FF">
      <w:pPr>
        <w:tabs>
          <w:tab w:val="left" w:pos="4953"/>
        </w:tabs>
        <w:spacing w:after="0" w:line="240" w:lineRule="auto"/>
        <w:jc w:val="center"/>
        <w:rPr>
          <w:rFonts w:ascii="Times New Roman" w:hAnsi="Times New Roman"/>
          <w:b/>
          <w:bCs/>
          <w:sz w:val="24"/>
          <w:szCs w:val="24"/>
        </w:rPr>
      </w:pPr>
    </w:p>
    <w:p w:rsidR="00E60216" w:rsidRDefault="00E60216" w:rsidP="001148FF">
      <w:pPr>
        <w:tabs>
          <w:tab w:val="left" w:pos="4953"/>
        </w:tabs>
        <w:spacing w:after="0" w:line="240" w:lineRule="auto"/>
        <w:jc w:val="center"/>
        <w:rPr>
          <w:rFonts w:ascii="Times New Roman" w:hAnsi="Times New Roman"/>
          <w:b/>
          <w:bCs/>
          <w:sz w:val="24"/>
          <w:szCs w:val="24"/>
        </w:rPr>
      </w:pPr>
    </w:p>
    <w:p w:rsidR="00E60216" w:rsidRDefault="00E60216" w:rsidP="001148FF">
      <w:pPr>
        <w:tabs>
          <w:tab w:val="left" w:pos="4953"/>
        </w:tabs>
        <w:spacing w:after="0" w:line="240" w:lineRule="auto"/>
        <w:jc w:val="center"/>
        <w:rPr>
          <w:rFonts w:ascii="Times New Roman" w:hAnsi="Times New Roman"/>
          <w:b/>
          <w:bCs/>
          <w:sz w:val="24"/>
          <w:szCs w:val="24"/>
        </w:rPr>
      </w:pPr>
    </w:p>
    <w:p w:rsidR="001148FF" w:rsidRPr="001341C0" w:rsidRDefault="001148FF" w:rsidP="001148FF">
      <w:pPr>
        <w:tabs>
          <w:tab w:val="left" w:pos="4953"/>
        </w:tabs>
        <w:spacing w:after="0" w:line="240" w:lineRule="auto"/>
        <w:jc w:val="center"/>
        <w:rPr>
          <w:rFonts w:ascii="Times New Roman" w:hAnsi="Times New Roman"/>
          <w:b/>
          <w:bCs/>
          <w:sz w:val="24"/>
          <w:szCs w:val="24"/>
        </w:rPr>
      </w:pPr>
      <w:r w:rsidRPr="001341C0">
        <w:rPr>
          <w:rFonts w:ascii="Times New Roman" w:hAnsi="Times New Roman"/>
          <w:b/>
          <w:bCs/>
          <w:sz w:val="24"/>
          <w:szCs w:val="24"/>
        </w:rPr>
        <w:t>Вид профессиональной служебной деятельности</w:t>
      </w:r>
    </w:p>
    <w:p w:rsidR="001148FF" w:rsidRPr="001341C0" w:rsidRDefault="001148FF" w:rsidP="001148FF">
      <w:pPr>
        <w:tabs>
          <w:tab w:val="left" w:pos="4953"/>
        </w:tabs>
        <w:spacing w:after="0" w:line="240" w:lineRule="auto"/>
        <w:jc w:val="center"/>
        <w:rPr>
          <w:rFonts w:ascii="Times New Roman" w:hAnsi="Times New Roman"/>
          <w:sz w:val="24"/>
          <w:szCs w:val="24"/>
        </w:rPr>
      </w:pPr>
      <w:r w:rsidRPr="001341C0">
        <w:rPr>
          <w:rFonts w:ascii="Times New Roman" w:hAnsi="Times New Roman"/>
          <w:sz w:val="24"/>
          <w:szCs w:val="24"/>
        </w:rPr>
        <w:t xml:space="preserve">Управление в сфере нетарифного регулирования </w:t>
      </w:r>
    </w:p>
    <w:p w:rsidR="001148FF" w:rsidRPr="001341C0" w:rsidRDefault="001148FF" w:rsidP="001148FF">
      <w:pPr>
        <w:tabs>
          <w:tab w:val="left" w:pos="4953"/>
        </w:tabs>
        <w:spacing w:after="0" w:line="240" w:lineRule="auto"/>
        <w:jc w:val="center"/>
        <w:rPr>
          <w:rFonts w:ascii="Times New Roman" w:hAnsi="Times New Roman"/>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1148FF" w:rsidRPr="001341C0" w:rsidTr="001148FF">
        <w:trPr>
          <w:trHeight w:val="902"/>
        </w:trPr>
        <w:tc>
          <w:tcPr>
            <w:tcW w:w="5920" w:type="dxa"/>
            <w:gridSpan w:val="2"/>
            <w:vAlign w:val="center"/>
          </w:tcPr>
          <w:p w:rsidR="001148FF" w:rsidRPr="001341C0" w:rsidRDefault="001148FF" w:rsidP="001148FF">
            <w:pPr>
              <w:tabs>
                <w:tab w:val="left" w:pos="9033"/>
              </w:tabs>
              <w:spacing w:after="0" w:line="240" w:lineRule="auto"/>
              <w:jc w:val="center"/>
              <w:rPr>
                <w:rFonts w:ascii="Times New Roman" w:hAnsi="Times New Roman"/>
                <w:sz w:val="24"/>
                <w:szCs w:val="24"/>
              </w:rPr>
            </w:pPr>
            <w:r w:rsidRPr="001341C0">
              <w:rPr>
                <w:rFonts w:ascii="Times New Roman" w:hAnsi="Times New Roman"/>
                <w:b/>
                <w:bCs/>
                <w:sz w:val="24"/>
                <w:szCs w:val="24"/>
              </w:rPr>
              <w:t>I. Требования к направлению подготовки (специальности) профессионального образования</w:t>
            </w:r>
          </w:p>
        </w:tc>
        <w:tc>
          <w:tcPr>
            <w:tcW w:w="9248" w:type="dxa"/>
            <w:vAlign w:val="center"/>
          </w:tcPr>
          <w:p w:rsidR="001148FF" w:rsidRPr="001341C0" w:rsidRDefault="001148FF" w:rsidP="00351BB1">
            <w:pPr>
              <w:spacing w:after="0" w:line="240" w:lineRule="auto"/>
              <w:ind w:firstLine="709"/>
              <w:jc w:val="both"/>
              <w:rPr>
                <w:rFonts w:ascii="Times New Roman" w:hAnsi="Times New Roman" w:cs="Times New Roman"/>
                <w:sz w:val="24"/>
                <w:szCs w:val="24"/>
              </w:rPr>
            </w:pPr>
            <w:r w:rsidRPr="001341C0">
              <w:rPr>
                <w:rFonts w:ascii="Times New Roman" w:hAnsi="Times New Roman" w:cs="Times New Roman"/>
                <w:color w:val="000000" w:themeColor="text1"/>
                <w:sz w:val="24"/>
                <w:szCs w:val="24"/>
              </w:rPr>
              <w:t>Рекомендуемые специальности, направления подготовки: «Юриспр</w:t>
            </w:r>
            <w:r w:rsidR="00351BB1" w:rsidRPr="001341C0">
              <w:rPr>
                <w:rFonts w:ascii="Times New Roman" w:hAnsi="Times New Roman" w:cs="Times New Roman"/>
                <w:color w:val="000000" w:themeColor="text1"/>
                <w:sz w:val="24"/>
                <w:szCs w:val="24"/>
              </w:rPr>
              <w:t>у</w:t>
            </w:r>
            <w:r w:rsidRPr="001341C0">
              <w:rPr>
                <w:rFonts w:ascii="Times New Roman" w:hAnsi="Times New Roman" w:cs="Times New Roman"/>
                <w:color w:val="000000" w:themeColor="text1"/>
                <w:sz w:val="24"/>
                <w:szCs w:val="24"/>
              </w:rPr>
              <w:t xml:space="preserve">денция»; </w:t>
            </w:r>
            <w:r w:rsidRPr="001341C0">
              <w:rPr>
                <w:rFonts w:ascii="Times New Roman" w:eastAsia="Calibri" w:hAnsi="Times New Roman" w:cs="Times New Roman"/>
                <w:color w:val="000000" w:themeColor="text1"/>
                <w:sz w:val="24"/>
                <w:szCs w:val="24"/>
              </w:rPr>
              <w:t xml:space="preserve">«Экология и природопользование»; «Техносферная безопасность»;  </w:t>
            </w:r>
            <w:r w:rsidR="00837E56" w:rsidRPr="001341C0">
              <w:rPr>
                <w:rFonts w:ascii="Times New Roman" w:eastAsia="Calibri" w:hAnsi="Times New Roman" w:cs="Times New Roman"/>
                <w:sz w:val="24"/>
                <w:szCs w:val="24"/>
              </w:rPr>
              <w:t>«Биология»;</w:t>
            </w:r>
            <w:r w:rsidR="00837E56" w:rsidRPr="001341C0">
              <w:rPr>
                <w:rFonts w:ascii="Times New Roman" w:eastAsia="Calibri" w:hAnsi="Times New Roman" w:cs="Times New Roman"/>
                <w:color w:val="000000" w:themeColor="text1"/>
                <w:sz w:val="24"/>
                <w:szCs w:val="24"/>
              </w:rPr>
              <w:t xml:space="preserve"> </w:t>
            </w:r>
            <w:r w:rsidRPr="001341C0">
              <w:rPr>
                <w:rFonts w:ascii="Times New Roman" w:eastAsia="Calibri" w:hAnsi="Times New Roman" w:cs="Times New Roman"/>
                <w:color w:val="000000" w:themeColor="text1"/>
                <w:sz w:val="24"/>
                <w:szCs w:val="24"/>
              </w:rPr>
              <w:t>«Химия»; «Таможенное дело»; «Международные отношения»</w:t>
            </w:r>
            <w:r w:rsidR="00837E56" w:rsidRPr="001341C0">
              <w:rPr>
                <w:rFonts w:ascii="Times New Roman" w:eastAsia="Calibri" w:hAnsi="Times New Roman" w:cs="Times New Roman"/>
                <w:color w:val="000000" w:themeColor="text1"/>
                <w:sz w:val="24"/>
                <w:szCs w:val="24"/>
              </w:rPr>
              <w:t xml:space="preserve"> </w:t>
            </w:r>
            <w:r w:rsidRPr="001341C0">
              <w:rPr>
                <w:rFonts w:ascii="Times New Roman"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Донецкой Народной Республики установлено соответствие указанным специальностям и направлениям подготовки.</w:t>
            </w:r>
          </w:p>
        </w:tc>
      </w:tr>
      <w:tr w:rsidR="001148FF" w:rsidRPr="001341C0" w:rsidTr="001148FF">
        <w:tc>
          <w:tcPr>
            <w:tcW w:w="2802" w:type="dxa"/>
            <w:vMerge w:val="restart"/>
            <w:vAlign w:val="center"/>
          </w:tcPr>
          <w:p w:rsidR="001148FF" w:rsidRPr="001341C0" w:rsidRDefault="001148FF" w:rsidP="001148FF">
            <w:pPr>
              <w:tabs>
                <w:tab w:val="left" w:pos="9033"/>
              </w:tabs>
              <w:spacing w:after="0" w:line="240" w:lineRule="auto"/>
              <w:jc w:val="center"/>
              <w:rPr>
                <w:rFonts w:ascii="Times New Roman" w:hAnsi="Times New Roman"/>
                <w:sz w:val="24"/>
                <w:szCs w:val="24"/>
              </w:rPr>
            </w:pPr>
            <w:r w:rsidRPr="001341C0">
              <w:rPr>
                <w:rFonts w:ascii="Times New Roman" w:hAnsi="Times New Roman"/>
                <w:b/>
                <w:bCs/>
                <w:sz w:val="24"/>
                <w:szCs w:val="24"/>
              </w:rPr>
              <w:t>II. Требования к профессиональным знаниям</w:t>
            </w:r>
          </w:p>
        </w:tc>
        <w:tc>
          <w:tcPr>
            <w:tcW w:w="3118" w:type="dxa"/>
            <w:vAlign w:val="center"/>
          </w:tcPr>
          <w:p w:rsidR="001148FF" w:rsidRPr="001341C0" w:rsidRDefault="001148FF" w:rsidP="001148FF">
            <w:pPr>
              <w:tabs>
                <w:tab w:val="left" w:pos="9033"/>
              </w:tabs>
              <w:spacing w:after="0" w:line="240" w:lineRule="auto"/>
              <w:jc w:val="center"/>
              <w:rPr>
                <w:rFonts w:ascii="Times New Roman" w:hAnsi="Times New Roman"/>
                <w:sz w:val="24"/>
                <w:szCs w:val="24"/>
              </w:rPr>
            </w:pPr>
            <w:r w:rsidRPr="001341C0">
              <w:rPr>
                <w:rFonts w:ascii="Times New Roman" w:hAnsi="Times New Roman"/>
                <w:b/>
                <w:bCs/>
                <w:sz w:val="24"/>
                <w:szCs w:val="24"/>
              </w:rPr>
              <w:t>1. Знания в сфере законодательства Донецкой Народной Республики</w:t>
            </w:r>
          </w:p>
        </w:tc>
        <w:tc>
          <w:tcPr>
            <w:tcW w:w="9248" w:type="dxa"/>
            <w:vAlign w:val="center"/>
          </w:tcPr>
          <w:p w:rsidR="001148FF" w:rsidRPr="001341C0" w:rsidRDefault="001148FF" w:rsidP="00837E56">
            <w:pPr>
              <w:spacing w:after="0" w:line="240" w:lineRule="auto"/>
              <w:ind w:firstLine="776"/>
              <w:jc w:val="both"/>
              <w:rPr>
                <w:rFonts w:ascii="Times New Roman" w:hAnsi="Times New Roman" w:cs="Times New Roman"/>
                <w:sz w:val="24"/>
                <w:szCs w:val="24"/>
              </w:rPr>
            </w:pPr>
            <w:r w:rsidRPr="001341C0">
              <w:rPr>
                <w:rFonts w:ascii="Times New Roman" w:hAnsi="Times New Roman" w:cs="Times New Roman"/>
                <w:sz w:val="24"/>
                <w:szCs w:val="24"/>
              </w:rPr>
              <w:t xml:space="preserve">Международное законодательство, в части соблюдения требований </w:t>
            </w:r>
            <w:r w:rsidRPr="001341C0">
              <w:rPr>
                <w:rFonts w:ascii="Times New Roman" w:eastAsia="Times New Roman" w:hAnsi="Times New Roman" w:cs="Times New Roman"/>
                <w:sz w:val="24"/>
                <w:szCs w:val="24"/>
              </w:rPr>
              <w:t xml:space="preserve">Базельской Конвенции о контроле за трансграничной перевозкой опасных отходов и их удалением от 22 марта 1989 года; Монреальского протокола по веществам, разрушающим озоновый слой от 16 сентября 1987 года; Роттердамской Конвенции о процедуре предварительного обоснованного согласия в отношении отдельных опасных </w:t>
            </w:r>
            <w:r w:rsidRPr="001341C0">
              <w:rPr>
                <w:rFonts w:ascii="Times New Roman" w:eastAsia="Times New Roman" w:hAnsi="Times New Roman" w:cs="Times New Roman"/>
                <w:sz w:val="24"/>
                <w:szCs w:val="24"/>
              </w:rPr>
              <w:lastRenderedPageBreak/>
              <w:t>химических веществ и пестицидов в международной торговле от 10 сентября 1998 года;</w:t>
            </w:r>
            <w:r w:rsidR="007F25D0" w:rsidRPr="001341C0">
              <w:rPr>
                <w:rFonts w:ascii="Times New Roman" w:eastAsia="Times New Roman" w:hAnsi="Times New Roman" w:cs="Times New Roman"/>
                <w:sz w:val="24"/>
                <w:szCs w:val="24"/>
              </w:rPr>
              <w:t xml:space="preserve"> </w:t>
            </w:r>
            <w:r w:rsidRPr="001341C0">
              <w:rPr>
                <w:rStyle w:val="hps"/>
                <w:rFonts w:ascii="Times New Roman" w:eastAsia="Times New Roman" w:hAnsi="Times New Roman" w:cs="Times New Roman"/>
                <w:sz w:val="24"/>
                <w:szCs w:val="24"/>
              </w:rPr>
              <w:t>Конвенции о</w:t>
            </w:r>
            <w:r w:rsidR="007F25D0" w:rsidRPr="001341C0">
              <w:rPr>
                <w:rStyle w:val="hps"/>
                <w:rFonts w:ascii="Times New Roman" w:eastAsia="Times New Roman" w:hAnsi="Times New Roman" w:cs="Times New Roman"/>
                <w:sz w:val="24"/>
                <w:szCs w:val="24"/>
              </w:rPr>
              <w:t xml:space="preserve"> </w:t>
            </w:r>
            <w:r w:rsidRPr="001341C0">
              <w:rPr>
                <w:rStyle w:val="hps"/>
                <w:rFonts w:ascii="Times New Roman" w:eastAsia="Times New Roman" w:hAnsi="Times New Roman" w:cs="Times New Roman"/>
                <w:sz w:val="24"/>
                <w:szCs w:val="24"/>
              </w:rPr>
              <w:t>международной торговле видами</w:t>
            </w:r>
            <w:r w:rsidR="007F25D0" w:rsidRPr="001341C0">
              <w:rPr>
                <w:rStyle w:val="hps"/>
                <w:rFonts w:ascii="Times New Roman" w:eastAsia="Times New Roman" w:hAnsi="Times New Roman" w:cs="Times New Roman"/>
                <w:sz w:val="24"/>
                <w:szCs w:val="24"/>
              </w:rPr>
              <w:t xml:space="preserve"> </w:t>
            </w:r>
            <w:r w:rsidRPr="001341C0">
              <w:rPr>
                <w:rStyle w:val="hps"/>
                <w:rFonts w:ascii="Times New Roman" w:eastAsia="Times New Roman" w:hAnsi="Times New Roman" w:cs="Times New Roman"/>
                <w:sz w:val="24"/>
                <w:szCs w:val="24"/>
              </w:rPr>
              <w:t>дикой</w:t>
            </w:r>
            <w:r w:rsidR="007F25D0" w:rsidRPr="001341C0">
              <w:rPr>
                <w:rStyle w:val="hps"/>
                <w:rFonts w:ascii="Times New Roman" w:eastAsia="Times New Roman" w:hAnsi="Times New Roman" w:cs="Times New Roman"/>
                <w:sz w:val="24"/>
                <w:szCs w:val="24"/>
              </w:rPr>
              <w:t xml:space="preserve"> </w:t>
            </w:r>
            <w:r w:rsidRPr="001341C0">
              <w:rPr>
                <w:rStyle w:val="hps"/>
                <w:rFonts w:ascii="Times New Roman" w:eastAsia="Times New Roman" w:hAnsi="Times New Roman" w:cs="Times New Roman"/>
                <w:sz w:val="24"/>
                <w:szCs w:val="24"/>
              </w:rPr>
              <w:t>фауны и</w:t>
            </w:r>
            <w:r w:rsidR="007F25D0" w:rsidRPr="001341C0">
              <w:rPr>
                <w:rStyle w:val="hps"/>
                <w:rFonts w:ascii="Times New Roman" w:eastAsia="Times New Roman" w:hAnsi="Times New Roman" w:cs="Times New Roman"/>
                <w:sz w:val="24"/>
                <w:szCs w:val="24"/>
              </w:rPr>
              <w:t xml:space="preserve"> </w:t>
            </w:r>
            <w:r w:rsidRPr="001341C0">
              <w:rPr>
                <w:rStyle w:val="hps"/>
                <w:rFonts w:ascii="Times New Roman" w:eastAsia="Times New Roman" w:hAnsi="Times New Roman" w:cs="Times New Roman"/>
                <w:sz w:val="24"/>
                <w:szCs w:val="24"/>
              </w:rPr>
              <w:t>флоры, находящимися</w:t>
            </w:r>
            <w:r w:rsidR="007F25D0" w:rsidRPr="001341C0">
              <w:rPr>
                <w:rStyle w:val="hps"/>
                <w:rFonts w:ascii="Times New Roman" w:eastAsia="Times New Roman" w:hAnsi="Times New Roman" w:cs="Times New Roman"/>
                <w:sz w:val="24"/>
                <w:szCs w:val="24"/>
              </w:rPr>
              <w:t xml:space="preserve"> </w:t>
            </w:r>
            <w:r w:rsidRPr="001341C0">
              <w:rPr>
                <w:rStyle w:val="hps"/>
                <w:rFonts w:ascii="Times New Roman" w:eastAsia="Times New Roman" w:hAnsi="Times New Roman" w:cs="Times New Roman"/>
                <w:sz w:val="24"/>
                <w:szCs w:val="24"/>
              </w:rPr>
              <w:t>под</w:t>
            </w:r>
            <w:r w:rsidR="007F25D0" w:rsidRPr="001341C0">
              <w:rPr>
                <w:rStyle w:val="hps"/>
                <w:rFonts w:ascii="Times New Roman" w:eastAsia="Times New Roman" w:hAnsi="Times New Roman" w:cs="Times New Roman"/>
                <w:sz w:val="24"/>
                <w:szCs w:val="24"/>
              </w:rPr>
              <w:t xml:space="preserve"> </w:t>
            </w:r>
            <w:r w:rsidRPr="001341C0">
              <w:rPr>
                <w:rStyle w:val="hps"/>
                <w:rFonts w:ascii="Times New Roman" w:eastAsia="Times New Roman" w:hAnsi="Times New Roman" w:cs="Times New Roman"/>
                <w:sz w:val="24"/>
                <w:szCs w:val="24"/>
              </w:rPr>
              <w:t>угрозой</w:t>
            </w:r>
            <w:r w:rsidR="007F25D0" w:rsidRPr="001341C0">
              <w:rPr>
                <w:rStyle w:val="hps"/>
                <w:rFonts w:ascii="Times New Roman" w:eastAsia="Times New Roman" w:hAnsi="Times New Roman" w:cs="Times New Roman"/>
                <w:sz w:val="24"/>
                <w:szCs w:val="24"/>
              </w:rPr>
              <w:t xml:space="preserve"> </w:t>
            </w:r>
            <w:r w:rsidRPr="001341C0">
              <w:rPr>
                <w:rStyle w:val="hps"/>
                <w:rFonts w:ascii="Times New Roman" w:eastAsia="Times New Roman" w:hAnsi="Times New Roman" w:cs="Times New Roman"/>
                <w:sz w:val="24"/>
                <w:szCs w:val="24"/>
              </w:rPr>
              <w:t>исчезновения (CITES) от 3 марта 1973 года</w:t>
            </w:r>
            <w:r w:rsidRPr="001341C0">
              <w:rPr>
                <w:rStyle w:val="hps"/>
                <w:rFonts w:ascii="Times New Roman" w:hAnsi="Times New Roman" w:cs="Times New Roman"/>
                <w:sz w:val="24"/>
                <w:szCs w:val="24"/>
              </w:rPr>
              <w:t>;</w:t>
            </w:r>
            <w:r w:rsidR="007F25D0" w:rsidRPr="001341C0">
              <w:rPr>
                <w:rStyle w:val="hps"/>
                <w:rFonts w:ascii="Times New Roman" w:hAnsi="Times New Roman" w:cs="Times New Roman"/>
                <w:sz w:val="24"/>
                <w:szCs w:val="24"/>
              </w:rPr>
              <w:t xml:space="preserve"> </w:t>
            </w:r>
            <w:r w:rsidRPr="001341C0">
              <w:rPr>
                <w:rFonts w:ascii="Times New Roman" w:eastAsia="Times New Roman" w:hAnsi="Times New Roman" w:cs="Times New Roman"/>
                <w:sz w:val="24"/>
                <w:szCs w:val="24"/>
              </w:rPr>
              <w:t>Стокгольмской Конвенции о стойких органических загрязнителях от 22 мая 2001 года; Картахенским Протоколом по биобезопасности к Конвенции о биологическом разн</w:t>
            </w:r>
            <w:r w:rsidRPr="001341C0">
              <w:rPr>
                <w:rFonts w:ascii="Times New Roman" w:hAnsi="Times New Roman" w:cs="Times New Roman"/>
                <w:sz w:val="24"/>
                <w:szCs w:val="24"/>
              </w:rPr>
              <w:t xml:space="preserve">ообразии от 29 января 2000 года; </w:t>
            </w:r>
            <w:r w:rsidRPr="001341C0">
              <w:rPr>
                <w:rFonts w:ascii="Times New Roman" w:hAnsi="Times New Roman" w:cs="Times New Roman"/>
                <w:bCs/>
                <w:sz w:val="24"/>
                <w:szCs w:val="24"/>
                <w:shd w:val="clear" w:color="auto" w:fill="FFFFFF"/>
              </w:rPr>
              <w:t>Европейского соглашения о международной дорожной перевозке опасных грузов</w:t>
            </w:r>
            <w:r w:rsidRPr="001341C0">
              <w:rPr>
                <w:rFonts w:ascii="Times New Roman" w:hAnsi="Times New Roman" w:cs="Times New Roman"/>
                <w:sz w:val="24"/>
                <w:szCs w:val="24"/>
                <w:shd w:val="clear" w:color="auto" w:fill="FFFFFF"/>
              </w:rPr>
              <w:t>,</w:t>
            </w:r>
            <w:r w:rsidRPr="001341C0">
              <w:rPr>
                <w:rStyle w:val="apple-converted-space"/>
                <w:szCs w:val="24"/>
                <w:shd w:val="clear" w:color="auto" w:fill="FFFFFF"/>
              </w:rPr>
              <w:t> </w:t>
            </w:r>
            <w:r w:rsidRPr="001341C0">
              <w:rPr>
                <w:rFonts w:ascii="Times New Roman" w:hAnsi="Times New Roman" w:cs="Times New Roman"/>
                <w:bCs/>
                <w:sz w:val="24"/>
                <w:szCs w:val="24"/>
                <w:shd w:val="clear" w:color="auto" w:fill="FFFFFF"/>
              </w:rPr>
              <w:t>ДОПОГ</w:t>
            </w:r>
            <w:r w:rsidRPr="001341C0">
              <w:rPr>
                <w:rFonts w:ascii="Times New Roman" w:eastAsia="Times New Roman" w:hAnsi="Times New Roman" w:cs="Times New Roman"/>
                <w:sz w:val="24"/>
                <w:szCs w:val="24"/>
              </w:rPr>
              <w:t xml:space="preserve"> и другие.  </w:t>
            </w:r>
          </w:p>
          <w:p w:rsidR="001148FF" w:rsidRPr="001341C0" w:rsidRDefault="00837E56" w:rsidP="00837E56">
            <w:pPr>
              <w:pStyle w:val="a3"/>
              <w:ind w:left="68" w:firstLine="776"/>
              <w:jc w:val="both"/>
            </w:pPr>
            <w:r w:rsidRPr="001341C0">
              <w:t>З</w:t>
            </w:r>
            <w:r w:rsidR="001148FF" w:rsidRPr="001341C0">
              <w:t>акон Донецкой Народной Республики от 25 марта 2016 года № 116-IHC «О таможенном регулировании в Донецкой Народной Республике»;</w:t>
            </w:r>
          </w:p>
          <w:p w:rsidR="001148FF" w:rsidRPr="001341C0" w:rsidRDefault="00837E56" w:rsidP="00837E56">
            <w:pPr>
              <w:pStyle w:val="a3"/>
              <w:ind w:left="68" w:firstLine="776"/>
              <w:jc w:val="both"/>
              <w:rPr>
                <w:spacing w:val="-8"/>
              </w:rPr>
            </w:pPr>
            <w:r w:rsidRPr="001341C0">
              <w:rPr>
                <w:spacing w:val="-8"/>
              </w:rPr>
              <w:t>д</w:t>
            </w:r>
            <w:r w:rsidR="001148FF" w:rsidRPr="001341C0">
              <w:rPr>
                <w:spacing w:val="-8"/>
              </w:rPr>
              <w:t>ействующее законодательство в сфере обращения пестицидов и агрохимикатов;</w:t>
            </w:r>
          </w:p>
          <w:p w:rsidR="001148FF" w:rsidRPr="001341C0" w:rsidRDefault="00837E56" w:rsidP="00837E56">
            <w:pPr>
              <w:pStyle w:val="a3"/>
              <w:ind w:left="68" w:firstLine="776"/>
              <w:jc w:val="both"/>
              <w:rPr>
                <w:spacing w:val="-8"/>
              </w:rPr>
            </w:pPr>
            <w:r w:rsidRPr="001341C0">
              <w:rPr>
                <w:spacing w:val="-8"/>
              </w:rPr>
              <w:t>д</w:t>
            </w:r>
            <w:r w:rsidR="001148FF" w:rsidRPr="001341C0">
              <w:rPr>
                <w:spacing w:val="-8"/>
              </w:rPr>
              <w:t>ействующее законодательство в сфере обращения с радиационными материалами;</w:t>
            </w:r>
          </w:p>
          <w:p w:rsidR="001148FF" w:rsidRPr="001341C0" w:rsidRDefault="001148FF" w:rsidP="00837E56">
            <w:pPr>
              <w:pStyle w:val="a3"/>
              <w:ind w:left="68" w:firstLine="776"/>
              <w:jc w:val="both"/>
            </w:pPr>
            <w:r w:rsidRPr="001341C0">
              <w:t>Постановление Совета Министров Донецкой Народной Республики от 16 октября 2015 года № 19-8 «О некоторых вопросах порядка перемещения отдельных видов товаров через таможенную территорию Донецкой Народной Республики в сфере охраны окружающей среды»;</w:t>
            </w:r>
          </w:p>
          <w:p w:rsidR="001148FF" w:rsidRPr="001341C0" w:rsidRDefault="001148FF" w:rsidP="00837E56">
            <w:pPr>
              <w:pStyle w:val="a3"/>
              <w:ind w:left="68" w:firstLine="776"/>
              <w:jc w:val="both"/>
            </w:pPr>
            <w:r w:rsidRPr="001341C0">
              <w:t>Постановление Совета Министров Донецкой Народной Республики от 16 октября 2015 года № 19-5 «Об усилении государственного регулирования ввоза в Донецкую Народную Республику и вывоза из Донецкой Народной Республики озоноразрушающих веществ и содержащей их продукции»;</w:t>
            </w:r>
          </w:p>
          <w:p w:rsidR="001148FF" w:rsidRPr="001341C0" w:rsidRDefault="001148FF" w:rsidP="00837E56">
            <w:pPr>
              <w:pStyle w:val="a3"/>
              <w:ind w:left="68" w:firstLine="776"/>
              <w:jc w:val="both"/>
            </w:pPr>
            <w:r w:rsidRPr="001341C0">
              <w:t>Постановление Совета Министров Донецкой Народной Республики от 16 октября 2015 года № 19-6 «Об утверждении Положения о контроле за трансграничным перемещением оп</w:t>
            </w:r>
            <w:r w:rsidR="00837E56" w:rsidRPr="001341C0">
              <w:t>асных отходов и их утилизацией»</w:t>
            </w:r>
            <w:r w:rsidRPr="001341C0">
              <w:t>;</w:t>
            </w:r>
          </w:p>
          <w:p w:rsidR="001148FF" w:rsidRPr="001341C0" w:rsidRDefault="001148FF" w:rsidP="00837E56">
            <w:pPr>
              <w:pStyle w:val="a3"/>
              <w:ind w:left="68" w:firstLine="776"/>
              <w:jc w:val="both"/>
            </w:pPr>
            <w:r w:rsidRPr="001341C0">
              <w:t>Постановление Совета Министров Донецкой Народной Республики от 16 октября 2015 года № 19-7 «О правовом регулировании трансграничного перемещения диких живых животных, отдельных дикорастущих растений, дикорастущего лекарственного сырья, редких и находящихся под угрозой исчезновения видов диких животных и дикорастущих растени</w:t>
            </w:r>
            <w:r w:rsidR="00837E56" w:rsidRPr="001341C0">
              <w:t>й, их частей и (или) дериватов»</w:t>
            </w:r>
            <w:r w:rsidRPr="001341C0">
              <w:t>;</w:t>
            </w:r>
          </w:p>
          <w:p w:rsidR="001148FF" w:rsidRPr="001341C0" w:rsidRDefault="001148FF" w:rsidP="00837E56">
            <w:pPr>
              <w:pStyle w:val="a3"/>
              <w:ind w:left="68" w:firstLine="776"/>
              <w:jc w:val="both"/>
              <w:rPr>
                <w:spacing w:val="-8"/>
              </w:rPr>
            </w:pPr>
            <w:r w:rsidRPr="001341C0">
              <w:rPr>
                <w:spacing w:val="-8"/>
              </w:rPr>
              <w:t>Постановление Совета Министров Донецкой Народной Республики от 06 ноября 2017</w:t>
            </w:r>
            <w:r w:rsidR="00837E56" w:rsidRPr="001341C0">
              <w:rPr>
                <w:spacing w:val="-8"/>
              </w:rPr>
              <w:t xml:space="preserve"> </w:t>
            </w:r>
            <w:r w:rsidRPr="001341C0">
              <w:rPr>
                <w:spacing w:val="-8"/>
              </w:rPr>
              <w:t>года № 14-24 «Об утверждении Порядка выдачи разрешительного документа (заключения) для трансграничного перемещения чрезвычайно опасных, отдельно опасных химических и ядовитых веществ (кроме радиоактивных веществ), ограниченных к перемещению через таможенную границу Донецкой Народной Республики»;</w:t>
            </w:r>
          </w:p>
          <w:p w:rsidR="001148FF" w:rsidRPr="001341C0" w:rsidRDefault="0039736D" w:rsidP="00837E56">
            <w:pPr>
              <w:pStyle w:val="a3"/>
              <w:ind w:left="68" w:firstLine="776"/>
              <w:jc w:val="both"/>
              <w:rPr>
                <w:shd w:val="clear" w:color="auto" w:fill="FFFFFF"/>
              </w:rPr>
            </w:pPr>
            <w:hyperlink r:id="rId8" w:tooltip="Постановление Правительства Донецкой Народной Республики от 03 мая 2019 г. № 8-3 " w:history="1">
              <w:r w:rsidR="001148FF" w:rsidRPr="001341C0">
                <w:rPr>
                  <w:rStyle w:val="aa"/>
                  <w:color w:val="auto"/>
                  <w:u w:val="none"/>
                  <w:bdr w:val="none" w:sz="0" w:space="0" w:color="auto" w:frame="1"/>
                  <w:shd w:val="clear" w:color="auto" w:fill="FFFFFF"/>
                </w:rPr>
                <w:t>Постановление Правительства Донецкой Народной Республики от 03 мая 2019 года № 8-3</w:t>
              </w:r>
            </w:hyperlink>
            <w:r w:rsidR="001148FF" w:rsidRPr="001341C0">
              <w:rPr>
                <w:rStyle w:val="apple-converted-space"/>
                <w:shd w:val="clear" w:color="auto" w:fill="FFFFFF"/>
              </w:rPr>
              <w:t> </w:t>
            </w:r>
            <w:r w:rsidR="001148FF" w:rsidRPr="001341C0">
              <w:rPr>
                <w:shd w:val="clear" w:color="auto" w:fill="FFFFFF"/>
              </w:rPr>
              <w:t xml:space="preserve">«Об утверждении Порядка выдачи заключения на ввоз и (или) вывоз коллекций и предметов коллекционирования по минералогии и палеонтологии, костей </w:t>
            </w:r>
            <w:r w:rsidR="001148FF" w:rsidRPr="001341C0">
              <w:rPr>
                <w:shd w:val="clear" w:color="auto" w:fill="FFFFFF"/>
              </w:rPr>
              <w:lastRenderedPageBreak/>
              <w:t>ископаемых животных»;</w:t>
            </w:r>
          </w:p>
          <w:p w:rsidR="001148FF" w:rsidRPr="001341C0" w:rsidRDefault="0039736D" w:rsidP="00837E56">
            <w:pPr>
              <w:pStyle w:val="a3"/>
              <w:ind w:left="68" w:firstLine="776"/>
              <w:jc w:val="both"/>
              <w:rPr>
                <w:shd w:val="clear" w:color="auto" w:fill="FFFFFF"/>
              </w:rPr>
            </w:pPr>
            <w:hyperlink r:id="rId9" w:tooltip="Постановление Правительства Донецкой Народной Республики от 05 июня 2019 г. № 10-5 " w:history="1">
              <w:r w:rsidR="001148FF" w:rsidRPr="001341C0">
                <w:rPr>
                  <w:rStyle w:val="aa"/>
                  <w:color w:val="auto"/>
                  <w:u w:val="none"/>
                  <w:bdr w:val="none" w:sz="0" w:space="0" w:color="auto" w:frame="1"/>
                  <w:shd w:val="clear" w:color="auto" w:fill="FFFFFF"/>
                </w:rPr>
                <w:t>Постановление Правительства Донецкой Народной Республики от 05 июня 2019 года № 10-5</w:t>
              </w:r>
            </w:hyperlink>
            <w:r w:rsidR="001148FF" w:rsidRPr="001341C0">
              <w:rPr>
                <w:rStyle w:val="apple-converted-space"/>
                <w:shd w:val="clear" w:color="auto" w:fill="FFFFFF"/>
              </w:rPr>
              <w:t> </w:t>
            </w:r>
            <w:r w:rsidR="001148FF" w:rsidRPr="001341C0">
              <w:rPr>
                <w:shd w:val="clear" w:color="auto" w:fill="FFFFFF"/>
              </w:rPr>
              <w:t>«Об утверждении Порядка выдачи заключений на ввоз средств защиты растений на таможенную территорию Донецкой Народной Республики»;</w:t>
            </w:r>
          </w:p>
          <w:p w:rsidR="001148FF" w:rsidRPr="001341C0" w:rsidRDefault="0039736D" w:rsidP="00837E56">
            <w:pPr>
              <w:pStyle w:val="a3"/>
              <w:ind w:left="68" w:firstLine="776"/>
              <w:jc w:val="both"/>
              <w:rPr>
                <w:shd w:val="clear" w:color="auto" w:fill="FFFFFF"/>
              </w:rPr>
            </w:pPr>
            <w:hyperlink r:id="rId10" w:tooltip="Постановление Правительства Донецкой Народной Республики от 24 мая 2019 г. № 9-2 " w:history="1">
              <w:r w:rsidR="001148FF" w:rsidRPr="001341C0">
                <w:rPr>
                  <w:rStyle w:val="aa"/>
                  <w:color w:val="auto"/>
                  <w:u w:val="none"/>
                  <w:bdr w:val="none" w:sz="0" w:space="0" w:color="auto" w:frame="1"/>
                  <w:shd w:val="clear" w:color="auto" w:fill="FFFFFF"/>
                </w:rPr>
                <w:t>Постановление Правительства Донецкой Народной Республики от 24 мая 2019 года № 9-2</w:t>
              </w:r>
            </w:hyperlink>
            <w:r w:rsidR="001148FF" w:rsidRPr="001341C0">
              <w:rPr>
                <w:rStyle w:val="apple-converted-space"/>
                <w:shd w:val="clear" w:color="auto" w:fill="FFFFFF"/>
              </w:rPr>
              <w:t> </w:t>
            </w:r>
            <w:r w:rsidR="001148FF" w:rsidRPr="001341C0">
              <w:rPr>
                <w:shd w:val="clear" w:color="auto" w:fill="FFFFFF"/>
              </w:rPr>
              <w:t>«Об утверждении Порядка выдачи заключений об отсутствии опасных составляющих в отходах, которые являются объектом импорта или экспорта»;</w:t>
            </w:r>
          </w:p>
          <w:p w:rsidR="001148FF" w:rsidRPr="001341C0" w:rsidRDefault="001148FF" w:rsidP="00837E56">
            <w:pPr>
              <w:pStyle w:val="a3"/>
              <w:ind w:left="68" w:firstLine="776"/>
              <w:jc w:val="both"/>
            </w:pPr>
            <w:r w:rsidRPr="001341C0">
              <w:t xml:space="preserve">Приказ </w:t>
            </w:r>
            <w:r w:rsidR="00837E56" w:rsidRPr="001341C0">
              <w:t>Государственного комитета по экологической политике и природным ресурсам при Главе Донецкой Народной Республики от 30 января 2019 года № 60</w:t>
            </w:r>
            <w:r w:rsidR="00837E56" w:rsidRPr="001341C0">
              <w:rPr>
                <w:rFonts w:eastAsia="Calibri"/>
              </w:rPr>
              <w:t xml:space="preserve"> </w:t>
            </w:r>
            <w:r w:rsidRPr="001341C0">
              <w:rPr>
                <w:rFonts w:eastAsia="Calibri"/>
              </w:rPr>
              <w:t>«Об утверждении инструкции по заполнению документа – уведомления о трансграничных перевозках отходов и документа о перевозке для трансграничных перевозок отходов»</w:t>
            </w:r>
            <w:r w:rsidRPr="001341C0">
              <w:t>, зарегистрирован в Министерстве юстиции ДНР от 19.02.2019 №</w:t>
            </w:r>
            <w:r w:rsidR="00837E56" w:rsidRPr="001341C0">
              <w:t xml:space="preserve"> </w:t>
            </w:r>
            <w:r w:rsidRPr="001341C0">
              <w:t>3000;</w:t>
            </w:r>
          </w:p>
          <w:p w:rsidR="001148FF" w:rsidRPr="001341C0" w:rsidRDefault="00837E56" w:rsidP="00837E56">
            <w:pPr>
              <w:pStyle w:val="a3"/>
              <w:ind w:left="68" w:firstLine="776"/>
              <w:jc w:val="both"/>
              <w:rPr>
                <w:spacing w:val="-8"/>
              </w:rPr>
            </w:pPr>
            <w:r w:rsidRPr="001341C0">
              <w:rPr>
                <w:spacing w:val="-8"/>
              </w:rPr>
              <w:t xml:space="preserve">Приказ Государственного комитета по экологической политике и природным ресурсам при Главе Донецкой Народной Республики от 17 сентября 2019 года № 559 </w:t>
            </w:r>
            <w:r w:rsidR="001148FF" w:rsidRPr="001341C0">
              <w:rPr>
                <w:spacing w:val="-8"/>
              </w:rPr>
              <w:t>«Об утверждении Порядка выдачи заключений об отсутствии в продукции озоноразрушающих веществ при ввозе/вывозе продукции на/с таможенную территорию ДНР»</w:t>
            </w:r>
            <w:r w:rsidRPr="001341C0">
              <w:rPr>
                <w:spacing w:val="-8"/>
              </w:rPr>
              <w:t>,</w:t>
            </w:r>
            <w:r w:rsidR="001148FF" w:rsidRPr="001341C0">
              <w:rPr>
                <w:spacing w:val="-8"/>
              </w:rPr>
              <w:t xml:space="preserve"> зарегистрирован в Министерстве юстиции ДНР от 02.10.2019 №</w:t>
            </w:r>
            <w:r w:rsidR="005B2BCE" w:rsidRPr="001341C0">
              <w:rPr>
                <w:spacing w:val="-8"/>
              </w:rPr>
              <w:t> </w:t>
            </w:r>
            <w:r w:rsidR="001148FF" w:rsidRPr="001341C0">
              <w:rPr>
                <w:spacing w:val="-8"/>
              </w:rPr>
              <w:t>3451;</w:t>
            </w:r>
          </w:p>
          <w:p w:rsidR="001148FF" w:rsidRPr="001341C0" w:rsidRDefault="00837E56" w:rsidP="00D6590E">
            <w:pPr>
              <w:pStyle w:val="a3"/>
              <w:widowControl w:val="0"/>
              <w:ind w:left="68" w:firstLine="777"/>
              <w:jc w:val="both"/>
            </w:pPr>
            <w:r w:rsidRPr="001341C0">
              <w:t>Приказ Государственного комитета по экологической политике и природным ресурсам при Главе Донецкой Народной Республики</w:t>
            </w:r>
            <w:r w:rsidR="001148FF" w:rsidRPr="001341C0">
              <w:t xml:space="preserve"> </w:t>
            </w:r>
            <w:r w:rsidRPr="001341C0">
              <w:t xml:space="preserve">от 21 августа 2017 года № 296 </w:t>
            </w:r>
            <w:r w:rsidR="001148FF" w:rsidRPr="001341C0">
              <w:t xml:space="preserve">«О проведении радиационного контроля» </w:t>
            </w:r>
          </w:p>
          <w:p w:rsidR="001148FF" w:rsidRPr="001341C0" w:rsidRDefault="00837E56" w:rsidP="00837E56">
            <w:pPr>
              <w:pStyle w:val="a3"/>
              <w:ind w:left="68" w:firstLine="776"/>
              <w:jc w:val="both"/>
            </w:pPr>
            <w:r w:rsidRPr="001341C0">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148FF" w:rsidRPr="001341C0" w:rsidTr="001148FF">
        <w:trPr>
          <w:trHeight w:val="274"/>
        </w:trPr>
        <w:tc>
          <w:tcPr>
            <w:tcW w:w="2802" w:type="dxa"/>
            <w:vMerge/>
            <w:vAlign w:val="center"/>
          </w:tcPr>
          <w:p w:rsidR="001148FF" w:rsidRPr="001341C0" w:rsidRDefault="001148FF" w:rsidP="001148FF">
            <w:pPr>
              <w:tabs>
                <w:tab w:val="left" w:pos="9033"/>
              </w:tabs>
              <w:spacing w:after="0" w:line="240" w:lineRule="auto"/>
              <w:jc w:val="center"/>
              <w:rPr>
                <w:rFonts w:ascii="Times New Roman" w:hAnsi="Times New Roman"/>
                <w:sz w:val="24"/>
                <w:szCs w:val="24"/>
              </w:rPr>
            </w:pPr>
          </w:p>
        </w:tc>
        <w:tc>
          <w:tcPr>
            <w:tcW w:w="3118" w:type="dxa"/>
            <w:vAlign w:val="center"/>
          </w:tcPr>
          <w:p w:rsidR="001148FF" w:rsidRPr="001341C0" w:rsidRDefault="001148FF" w:rsidP="001148FF">
            <w:pPr>
              <w:tabs>
                <w:tab w:val="left" w:pos="9033"/>
              </w:tabs>
              <w:spacing w:after="0" w:line="240" w:lineRule="auto"/>
              <w:jc w:val="center"/>
              <w:rPr>
                <w:rFonts w:ascii="Times New Roman" w:hAnsi="Times New Roman"/>
                <w:b/>
                <w:bCs/>
                <w:sz w:val="24"/>
                <w:szCs w:val="24"/>
              </w:rPr>
            </w:pPr>
            <w:r w:rsidRPr="001341C0">
              <w:rPr>
                <w:rFonts w:ascii="Times New Roman" w:hAnsi="Times New Roman"/>
                <w:b/>
                <w:bCs/>
                <w:sz w:val="24"/>
                <w:szCs w:val="24"/>
              </w:rPr>
              <w:t>2. Иные профессиональные знания</w:t>
            </w:r>
          </w:p>
        </w:tc>
        <w:tc>
          <w:tcPr>
            <w:tcW w:w="9248" w:type="dxa"/>
            <w:vAlign w:val="center"/>
          </w:tcPr>
          <w:p w:rsidR="001148FF" w:rsidRPr="001341C0" w:rsidRDefault="001148FF" w:rsidP="00837E56">
            <w:pPr>
              <w:pStyle w:val="a3"/>
              <w:ind w:left="68" w:firstLine="708"/>
              <w:jc w:val="both"/>
            </w:pPr>
            <w:r w:rsidRPr="001341C0">
              <w:t>вопросы обращения (хранения, применения, переработки, утилизации, транспортировки) отходов производства и потребления;</w:t>
            </w:r>
          </w:p>
          <w:p w:rsidR="001148FF" w:rsidRPr="001341C0" w:rsidRDefault="001148FF" w:rsidP="00837E56">
            <w:pPr>
              <w:pStyle w:val="a3"/>
              <w:ind w:left="68" w:firstLine="708"/>
              <w:jc w:val="both"/>
            </w:pPr>
            <w:r w:rsidRPr="001341C0">
              <w:t>область применения озоноразрушающих и озонобезопасных веществ;</w:t>
            </w:r>
          </w:p>
          <w:p w:rsidR="001148FF" w:rsidRPr="001341C0" w:rsidRDefault="001148FF" w:rsidP="00837E56">
            <w:pPr>
              <w:pStyle w:val="a3"/>
              <w:ind w:left="68" w:firstLine="708"/>
              <w:jc w:val="both"/>
            </w:pPr>
            <w:r w:rsidRPr="001341C0">
              <w:t>вопросы хранения, транспортировки и применения пестицидов и агрохимикатов в сельском хозяйстве;</w:t>
            </w:r>
          </w:p>
          <w:p w:rsidR="001148FF" w:rsidRPr="001341C0" w:rsidRDefault="001148FF" w:rsidP="00837E56">
            <w:pPr>
              <w:pStyle w:val="a3"/>
              <w:ind w:left="68" w:firstLine="708"/>
              <w:jc w:val="both"/>
            </w:pPr>
            <w:r w:rsidRPr="001341C0">
              <w:t>правила содержания диких животных в полувольных условиях, перечень диких животных и дикорастущих растений, находящихся под угрозой исчезновения;</w:t>
            </w:r>
          </w:p>
          <w:p w:rsidR="001148FF" w:rsidRPr="001341C0" w:rsidRDefault="001148FF" w:rsidP="00837E56">
            <w:pPr>
              <w:pStyle w:val="a3"/>
              <w:ind w:left="68" w:firstLine="708"/>
              <w:jc w:val="both"/>
            </w:pPr>
            <w:r w:rsidRPr="001341C0">
              <w:t>вопросы обращения (транспортировки, применения, переработки, утилизации) особоопасных и ядовитых веществ;</w:t>
            </w:r>
          </w:p>
          <w:p w:rsidR="001148FF" w:rsidRPr="001341C0" w:rsidRDefault="001148FF" w:rsidP="00837E56">
            <w:pPr>
              <w:pStyle w:val="a3"/>
              <w:ind w:left="68" w:firstLine="708"/>
              <w:jc w:val="both"/>
            </w:pPr>
            <w:r w:rsidRPr="001341C0">
              <w:t xml:space="preserve">методы использования непригодной продукции либо с истекшим сроком </w:t>
            </w:r>
            <w:r w:rsidRPr="001341C0">
              <w:lastRenderedPageBreak/>
              <w:t>годности;</w:t>
            </w:r>
          </w:p>
          <w:p w:rsidR="001148FF" w:rsidRPr="001341C0" w:rsidRDefault="001148FF" w:rsidP="00837E56">
            <w:pPr>
              <w:pStyle w:val="a3"/>
              <w:ind w:left="68" w:firstLine="708"/>
              <w:jc w:val="both"/>
            </w:pPr>
            <w:r w:rsidRPr="001341C0">
              <w:t>вопросы дальнейшей утилизации тары и упаковочных материалов из-под пестицидов и агрохимикатов;</w:t>
            </w:r>
          </w:p>
          <w:p w:rsidR="001148FF" w:rsidRPr="001341C0" w:rsidRDefault="001148FF" w:rsidP="00837E56">
            <w:pPr>
              <w:pStyle w:val="a3"/>
              <w:ind w:left="68" w:firstLine="708"/>
              <w:jc w:val="both"/>
            </w:pPr>
            <w:r w:rsidRPr="001341C0">
              <w:t>основы радиационного контроля переносными приборами (дозиметрами).</w:t>
            </w:r>
          </w:p>
        </w:tc>
      </w:tr>
      <w:tr w:rsidR="001148FF" w:rsidRPr="001341C0" w:rsidTr="001148FF">
        <w:trPr>
          <w:trHeight w:val="561"/>
        </w:trPr>
        <w:tc>
          <w:tcPr>
            <w:tcW w:w="5920" w:type="dxa"/>
            <w:gridSpan w:val="2"/>
            <w:vAlign w:val="center"/>
          </w:tcPr>
          <w:p w:rsidR="001148FF" w:rsidRPr="001341C0" w:rsidRDefault="001148FF" w:rsidP="001148FF">
            <w:pPr>
              <w:tabs>
                <w:tab w:val="left" w:pos="9033"/>
              </w:tabs>
              <w:spacing w:after="0" w:line="240" w:lineRule="auto"/>
              <w:jc w:val="center"/>
              <w:rPr>
                <w:rFonts w:ascii="Times New Roman" w:hAnsi="Times New Roman"/>
                <w:sz w:val="24"/>
                <w:szCs w:val="24"/>
              </w:rPr>
            </w:pPr>
            <w:r w:rsidRPr="001341C0">
              <w:rPr>
                <w:rFonts w:ascii="Times New Roman" w:hAnsi="Times New Roman"/>
                <w:b/>
                <w:bCs/>
                <w:sz w:val="24"/>
                <w:szCs w:val="24"/>
              </w:rPr>
              <w:lastRenderedPageBreak/>
              <w:t>III. Требования к профессиональным умениям</w:t>
            </w:r>
          </w:p>
        </w:tc>
        <w:tc>
          <w:tcPr>
            <w:tcW w:w="9248" w:type="dxa"/>
          </w:tcPr>
          <w:p w:rsidR="001148FF" w:rsidRPr="001341C0" w:rsidRDefault="001148FF" w:rsidP="00837E56">
            <w:pPr>
              <w:pStyle w:val="a3"/>
              <w:ind w:left="68" w:firstLine="708"/>
              <w:jc w:val="both"/>
              <w:rPr>
                <w:rFonts w:eastAsia="Calibri"/>
              </w:rPr>
            </w:pPr>
            <w:r w:rsidRPr="001341C0">
              <w:rPr>
                <w:rFonts w:eastAsia="Calibri"/>
              </w:rPr>
              <w:t>уметь оформлять и подготавливать к выдаче разрешительные документы (заключения) в отношении специфических товаров, включенных в Единый перечень товаров, утвержденный ПСМ ДНР от 16.10.2015 №19-8;</w:t>
            </w:r>
          </w:p>
          <w:p w:rsidR="001148FF" w:rsidRPr="001341C0" w:rsidRDefault="001148FF" w:rsidP="00837E56">
            <w:pPr>
              <w:pStyle w:val="a3"/>
              <w:ind w:left="68" w:firstLine="708"/>
              <w:jc w:val="both"/>
              <w:rPr>
                <w:rFonts w:eastAsia="Calibri"/>
                <w:spacing w:val="-8"/>
              </w:rPr>
            </w:pPr>
            <w:r w:rsidRPr="001341C0">
              <w:rPr>
                <w:rFonts w:eastAsia="Calibri"/>
                <w:spacing w:val="-8"/>
              </w:rPr>
              <w:t>уметь проверять и анализировать товаросопроводительные документы, прилагаемые субъектами хозяйствования к заявлению на выдачу разрешительных документов;</w:t>
            </w:r>
          </w:p>
          <w:p w:rsidR="001148FF" w:rsidRPr="001341C0" w:rsidRDefault="001148FF" w:rsidP="00D6590E">
            <w:pPr>
              <w:pStyle w:val="a3"/>
              <w:ind w:left="68" w:right="-108" w:firstLine="708"/>
              <w:jc w:val="both"/>
              <w:rPr>
                <w:rFonts w:eastAsia="Calibri"/>
                <w:spacing w:val="-8"/>
              </w:rPr>
            </w:pPr>
            <w:r w:rsidRPr="001341C0">
              <w:rPr>
                <w:rFonts w:eastAsia="Calibri"/>
                <w:spacing w:val="-8"/>
              </w:rPr>
              <w:t>уметь проводить проверки субъектов хозяйствования, в пределах компетенции отдела;</w:t>
            </w:r>
          </w:p>
          <w:p w:rsidR="001148FF" w:rsidRPr="001341C0" w:rsidRDefault="001148FF" w:rsidP="00837E56">
            <w:pPr>
              <w:pStyle w:val="a3"/>
              <w:ind w:left="68" w:firstLine="708"/>
              <w:jc w:val="both"/>
              <w:rPr>
                <w:rFonts w:eastAsia="Calibri"/>
              </w:rPr>
            </w:pPr>
            <w:r w:rsidRPr="001341C0">
              <w:rPr>
                <w:rFonts w:eastAsia="Calibri"/>
              </w:rPr>
              <w:t>уметь выявлять нарушения законодательства в сфере нетарифного регулирования;</w:t>
            </w:r>
          </w:p>
          <w:p w:rsidR="001148FF" w:rsidRPr="001341C0" w:rsidRDefault="001148FF" w:rsidP="00837E56">
            <w:pPr>
              <w:pStyle w:val="a3"/>
              <w:ind w:left="68" w:firstLine="708"/>
              <w:jc w:val="both"/>
              <w:rPr>
                <w:rFonts w:eastAsia="Calibri"/>
              </w:rPr>
            </w:pPr>
            <w:r w:rsidRPr="001341C0">
              <w:rPr>
                <w:rFonts w:eastAsia="Calibri"/>
              </w:rPr>
              <w:t>владеть навыками составления дел об административных правонарушениях;</w:t>
            </w:r>
          </w:p>
          <w:p w:rsidR="001148FF" w:rsidRPr="001341C0" w:rsidRDefault="001148FF" w:rsidP="00837E56">
            <w:pPr>
              <w:pStyle w:val="a3"/>
              <w:ind w:left="68" w:firstLine="708"/>
              <w:jc w:val="both"/>
              <w:rPr>
                <w:rFonts w:eastAsia="Calibri"/>
              </w:rPr>
            </w:pPr>
            <w:r w:rsidRPr="001341C0">
              <w:rPr>
                <w:rFonts w:eastAsia="Calibri"/>
              </w:rPr>
              <w:t>владеть навыками работы с дозиметрами;</w:t>
            </w:r>
          </w:p>
          <w:p w:rsidR="001148FF" w:rsidRPr="001341C0" w:rsidRDefault="001148FF" w:rsidP="00837E56">
            <w:pPr>
              <w:pStyle w:val="a3"/>
              <w:ind w:left="68" w:firstLine="708"/>
              <w:jc w:val="both"/>
              <w:rPr>
                <w:rFonts w:eastAsia="Calibri"/>
              </w:rPr>
            </w:pPr>
            <w:r w:rsidRPr="001341C0">
              <w:t>уметь работать с технической документацией, ГОСТами и иными стандартами;</w:t>
            </w:r>
          </w:p>
          <w:p w:rsidR="001148FF" w:rsidRPr="001341C0" w:rsidRDefault="001148FF" w:rsidP="00837E56">
            <w:pPr>
              <w:pStyle w:val="a3"/>
              <w:ind w:left="68" w:firstLine="708"/>
              <w:jc w:val="both"/>
              <w:rPr>
                <w:rFonts w:eastAsia="Calibri"/>
              </w:rPr>
            </w:pPr>
            <w:r w:rsidRPr="001341C0">
              <w:t>уметь анализировать и прогнозировать деятельность в сфере нетарифного регулирования.</w:t>
            </w:r>
          </w:p>
        </w:tc>
      </w:tr>
    </w:tbl>
    <w:p w:rsidR="005945C0" w:rsidRDefault="005945C0">
      <w:pPr>
        <w:rPr>
          <w:rFonts w:ascii="Times New Roman" w:hAnsi="Times New Roman"/>
          <w:b/>
          <w:bCs/>
          <w:sz w:val="24"/>
          <w:szCs w:val="24"/>
        </w:rPr>
      </w:pPr>
    </w:p>
    <w:sectPr w:rsidR="005945C0" w:rsidSect="002132A2">
      <w:pgSz w:w="16838" w:h="11906" w:orient="landscape"/>
      <w:pgMar w:top="153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FBD" w:rsidRDefault="00CA3FBD" w:rsidP="00ED438C">
      <w:pPr>
        <w:spacing w:after="0" w:line="240" w:lineRule="auto"/>
      </w:pPr>
      <w:r>
        <w:separator/>
      </w:r>
    </w:p>
  </w:endnote>
  <w:endnote w:type="continuationSeparator" w:id="1">
    <w:p w:rsidR="00CA3FBD" w:rsidRDefault="00CA3FBD" w:rsidP="00ED4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FBD" w:rsidRDefault="00CA3FBD" w:rsidP="00ED438C">
      <w:pPr>
        <w:spacing w:after="0" w:line="240" w:lineRule="auto"/>
      </w:pPr>
      <w:r>
        <w:separator/>
      </w:r>
    </w:p>
  </w:footnote>
  <w:footnote w:type="continuationSeparator" w:id="1">
    <w:p w:rsidR="00CA3FBD" w:rsidRDefault="00CA3FBD" w:rsidP="00ED43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73ED"/>
    <w:multiLevelType w:val="hybridMultilevel"/>
    <w:tmpl w:val="AAEE1EB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322922"/>
    <w:multiLevelType w:val="hybridMultilevel"/>
    <w:tmpl w:val="9E4C4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51460A"/>
    <w:multiLevelType w:val="hybridMultilevel"/>
    <w:tmpl w:val="6354F2C0"/>
    <w:lvl w:ilvl="0" w:tplc="5BDEF0B6">
      <w:start w:val="1"/>
      <w:numFmt w:val="decimal"/>
      <w:lvlText w:val="0.%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CD570C"/>
    <w:multiLevelType w:val="hybridMultilevel"/>
    <w:tmpl w:val="AAEE1EB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AC65E7"/>
    <w:multiLevelType w:val="hybridMultilevel"/>
    <w:tmpl w:val="5944F2E8"/>
    <w:lvl w:ilvl="0" w:tplc="0C9E6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56422F"/>
    <w:multiLevelType w:val="hybridMultilevel"/>
    <w:tmpl w:val="AAEE1EB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D809A9"/>
    <w:multiLevelType w:val="hybridMultilevel"/>
    <w:tmpl w:val="7C1CC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6C5DDF"/>
    <w:multiLevelType w:val="hybridMultilevel"/>
    <w:tmpl w:val="EBC21E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857664"/>
    <w:multiLevelType w:val="hybridMultilevel"/>
    <w:tmpl w:val="AAEE1EB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653969"/>
    <w:multiLevelType w:val="hybridMultilevel"/>
    <w:tmpl w:val="712E5324"/>
    <w:lvl w:ilvl="0" w:tplc="0C9E6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BC06E4"/>
    <w:multiLevelType w:val="hybridMultilevel"/>
    <w:tmpl w:val="1B306708"/>
    <w:lvl w:ilvl="0" w:tplc="647EBA74">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B9706A"/>
    <w:multiLevelType w:val="hybridMultilevel"/>
    <w:tmpl w:val="9F701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EC0D16"/>
    <w:multiLevelType w:val="hybridMultilevel"/>
    <w:tmpl w:val="73B6760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3">
    <w:nsid w:val="776A78A8"/>
    <w:multiLevelType w:val="hybridMultilevel"/>
    <w:tmpl w:val="24448E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9A6D21"/>
    <w:multiLevelType w:val="hybridMultilevel"/>
    <w:tmpl w:val="CC1E492C"/>
    <w:lvl w:ilvl="0" w:tplc="8C8A1C3E">
      <w:start w:val="1"/>
      <w:numFmt w:val="decimal"/>
      <w:lvlText w:val="0.%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253950"/>
    <w:multiLevelType w:val="hybridMultilevel"/>
    <w:tmpl w:val="AAEE1EB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10"/>
  </w:num>
  <w:num w:numId="5">
    <w:abstractNumId w:val="5"/>
  </w:num>
  <w:num w:numId="6">
    <w:abstractNumId w:val="13"/>
  </w:num>
  <w:num w:numId="7">
    <w:abstractNumId w:val="7"/>
  </w:num>
  <w:num w:numId="8">
    <w:abstractNumId w:val="8"/>
  </w:num>
  <w:num w:numId="9">
    <w:abstractNumId w:val="3"/>
  </w:num>
  <w:num w:numId="10">
    <w:abstractNumId w:val="15"/>
  </w:num>
  <w:num w:numId="11">
    <w:abstractNumId w:val="14"/>
  </w:num>
  <w:num w:numId="12">
    <w:abstractNumId w:val="0"/>
  </w:num>
  <w:num w:numId="13">
    <w:abstractNumId w:val="4"/>
  </w:num>
  <w:num w:numId="14">
    <w:abstractNumId w:val="9"/>
  </w:num>
  <w:num w:numId="15">
    <w:abstractNumId w:val="6"/>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D438C"/>
    <w:rsid w:val="0002753D"/>
    <w:rsid w:val="0003357D"/>
    <w:rsid w:val="000425DA"/>
    <w:rsid w:val="0006049A"/>
    <w:rsid w:val="00092404"/>
    <w:rsid w:val="000B4E0C"/>
    <w:rsid w:val="000C3F56"/>
    <w:rsid w:val="000F76B3"/>
    <w:rsid w:val="001001C3"/>
    <w:rsid w:val="00102997"/>
    <w:rsid w:val="001148FF"/>
    <w:rsid w:val="001341C0"/>
    <w:rsid w:val="001707AC"/>
    <w:rsid w:val="001778BA"/>
    <w:rsid w:val="0019048B"/>
    <w:rsid w:val="00197467"/>
    <w:rsid w:val="001D60B8"/>
    <w:rsid w:val="001E27D9"/>
    <w:rsid w:val="001E45C9"/>
    <w:rsid w:val="001F3640"/>
    <w:rsid w:val="00205879"/>
    <w:rsid w:val="0021072B"/>
    <w:rsid w:val="002132A2"/>
    <w:rsid w:val="00225043"/>
    <w:rsid w:val="002348F6"/>
    <w:rsid w:val="002417BF"/>
    <w:rsid w:val="0024240E"/>
    <w:rsid w:val="00246FD7"/>
    <w:rsid w:val="00256822"/>
    <w:rsid w:val="002741B7"/>
    <w:rsid w:val="0029383E"/>
    <w:rsid w:val="002A4342"/>
    <w:rsid w:val="002B1B80"/>
    <w:rsid w:val="002C1E9F"/>
    <w:rsid w:val="002D1C9C"/>
    <w:rsid w:val="002E376C"/>
    <w:rsid w:val="00324088"/>
    <w:rsid w:val="00325775"/>
    <w:rsid w:val="00342C6D"/>
    <w:rsid w:val="00351BB1"/>
    <w:rsid w:val="00362731"/>
    <w:rsid w:val="0037294C"/>
    <w:rsid w:val="0039736D"/>
    <w:rsid w:val="003A244A"/>
    <w:rsid w:val="003A3596"/>
    <w:rsid w:val="003A3781"/>
    <w:rsid w:val="003A4FC5"/>
    <w:rsid w:val="003B5186"/>
    <w:rsid w:val="004027E8"/>
    <w:rsid w:val="00422E8B"/>
    <w:rsid w:val="00451FDD"/>
    <w:rsid w:val="0049417C"/>
    <w:rsid w:val="004E35C7"/>
    <w:rsid w:val="004F137F"/>
    <w:rsid w:val="00530CF3"/>
    <w:rsid w:val="00542A1E"/>
    <w:rsid w:val="005633AE"/>
    <w:rsid w:val="0058289A"/>
    <w:rsid w:val="005837F1"/>
    <w:rsid w:val="005945C0"/>
    <w:rsid w:val="005B2BCE"/>
    <w:rsid w:val="005C0BA1"/>
    <w:rsid w:val="005D2D3F"/>
    <w:rsid w:val="005D6737"/>
    <w:rsid w:val="005E1E43"/>
    <w:rsid w:val="005F06E5"/>
    <w:rsid w:val="005F1B4D"/>
    <w:rsid w:val="0064142C"/>
    <w:rsid w:val="006554A7"/>
    <w:rsid w:val="00664A2F"/>
    <w:rsid w:val="006A3935"/>
    <w:rsid w:val="006B4F95"/>
    <w:rsid w:val="006C7B87"/>
    <w:rsid w:val="006F2C39"/>
    <w:rsid w:val="006F752A"/>
    <w:rsid w:val="00731160"/>
    <w:rsid w:val="00763CE4"/>
    <w:rsid w:val="00764453"/>
    <w:rsid w:val="007776BA"/>
    <w:rsid w:val="00790E94"/>
    <w:rsid w:val="007B1492"/>
    <w:rsid w:val="007C2B67"/>
    <w:rsid w:val="007C4063"/>
    <w:rsid w:val="007E41CB"/>
    <w:rsid w:val="007E5D44"/>
    <w:rsid w:val="007F25D0"/>
    <w:rsid w:val="00837E56"/>
    <w:rsid w:val="00840621"/>
    <w:rsid w:val="0085521D"/>
    <w:rsid w:val="008746BA"/>
    <w:rsid w:val="00891B7F"/>
    <w:rsid w:val="008B351E"/>
    <w:rsid w:val="008C5D70"/>
    <w:rsid w:val="008D24F7"/>
    <w:rsid w:val="008E65E8"/>
    <w:rsid w:val="00920030"/>
    <w:rsid w:val="00952819"/>
    <w:rsid w:val="009603D3"/>
    <w:rsid w:val="00975B05"/>
    <w:rsid w:val="00981C0D"/>
    <w:rsid w:val="00994E40"/>
    <w:rsid w:val="00997A24"/>
    <w:rsid w:val="009A575F"/>
    <w:rsid w:val="009B34A0"/>
    <w:rsid w:val="009D084D"/>
    <w:rsid w:val="00A01931"/>
    <w:rsid w:val="00A13606"/>
    <w:rsid w:val="00A25E14"/>
    <w:rsid w:val="00A510B7"/>
    <w:rsid w:val="00A545BC"/>
    <w:rsid w:val="00A76C6A"/>
    <w:rsid w:val="00AB751E"/>
    <w:rsid w:val="00AC2064"/>
    <w:rsid w:val="00AD7ECB"/>
    <w:rsid w:val="00AE14E7"/>
    <w:rsid w:val="00B03A95"/>
    <w:rsid w:val="00B079CD"/>
    <w:rsid w:val="00B3098D"/>
    <w:rsid w:val="00B50873"/>
    <w:rsid w:val="00B54D45"/>
    <w:rsid w:val="00BF4E60"/>
    <w:rsid w:val="00C1026A"/>
    <w:rsid w:val="00C129F7"/>
    <w:rsid w:val="00C40FA3"/>
    <w:rsid w:val="00C631A6"/>
    <w:rsid w:val="00C7322F"/>
    <w:rsid w:val="00C75106"/>
    <w:rsid w:val="00C846CE"/>
    <w:rsid w:val="00C92EFB"/>
    <w:rsid w:val="00CA3FBD"/>
    <w:rsid w:val="00CB37BF"/>
    <w:rsid w:val="00CE0665"/>
    <w:rsid w:val="00CE43FE"/>
    <w:rsid w:val="00D07B23"/>
    <w:rsid w:val="00D32057"/>
    <w:rsid w:val="00D42572"/>
    <w:rsid w:val="00D6590E"/>
    <w:rsid w:val="00D72EFE"/>
    <w:rsid w:val="00D840C8"/>
    <w:rsid w:val="00D85DA1"/>
    <w:rsid w:val="00D95257"/>
    <w:rsid w:val="00D971C5"/>
    <w:rsid w:val="00DE767C"/>
    <w:rsid w:val="00DF42FD"/>
    <w:rsid w:val="00E1472C"/>
    <w:rsid w:val="00E16ECD"/>
    <w:rsid w:val="00E40049"/>
    <w:rsid w:val="00E4517D"/>
    <w:rsid w:val="00E60216"/>
    <w:rsid w:val="00E60E95"/>
    <w:rsid w:val="00E61EB2"/>
    <w:rsid w:val="00E719CA"/>
    <w:rsid w:val="00E757F4"/>
    <w:rsid w:val="00EB3B25"/>
    <w:rsid w:val="00EC2D50"/>
    <w:rsid w:val="00ED2ADE"/>
    <w:rsid w:val="00ED438C"/>
    <w:rsid w:val="00EE7096"/>
    <w:rsid w:val="00EF3FB4"/>
    <w:rsid w:val="00F47E26"/>
    <w:rsid w:val="00F64308"/>
    <w:rsid w:val="00F67713"/>
    <w:rsid w:val="00F74D15"/>
    <w:rsid w:val="00F83C47"/>
    <w:rsid w:val="00F846FF"/>
    <w:rsid w:val="00F9470D"/>
    <w:rsid w:val="00FA2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2C"/>
  </w:style>
  <w:style w:type="paragraph" w:styleId="1">
    <w:name w:val="heading 1"/>
    <w:basedOn w:val="a"/>
    <w:next w:val="a"/>
    <w:link w:val="10"/>
    <w:uiPriority w:val="9"/>
    <w:qFormat/>
    <w:rsid w:val="0049417C"/>
    <w:pPr>
      <w:keepNext/>
      <w:keepLines/>
      <w:spacing w:after="0" w:line="240" w:lineRule="auto"/>
      <w:jc w:val="center"/>
      <w:outlineLvl w:val="0"/>
    </w:pPr>
    <w:rPr>
      <w:rFonts w:ascii="Times New Roman" w:eastAsia="Times New Roman" w:hAnsi="Times New Roman" w:cs="Times New Roman"/>
      <w:bCs/>
      <w:sz w:val="24"/>
      <w:szCs w:val="28"/>
    </w:rPr>
  </w:style>
  <w:style w:type="paragraph" w:styleId="2">
    <w:name w:val="heading 2"/>
    <w:basedOn w:val="a"/>
    <w:next w:val="a"/>
    <w:link w:val="20"/>
    <w:uiPriority w:val="9"/>
    <w:semiHidden/>
    <w:unhideWhenUsed/>
    <w:qFormat/>
    <w:rsid w:val="007C2B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E4004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D438C"/>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uiPriority w:val="59"/>
    <w:rsid w:val="00ED438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note text"/>
    <w:basedOn w:val="a"/>
    <w:link w:val="a7"/>
    <w:unhideWhenUsed/>
    <w:rsid w:val="00ED438C"/>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rsid w:val="00ED438C"/>
    <w:rPr>
      <w:rFonts w:ascii="Times New Roman" w:eastAsia="Times New Roman" w:hAnsi="Times New Roman" w:cs="Times New Roman"/>
      <w:sz w:val="20"/>
      <w:szCs w:val="20"/>
    </w:rPr>
  </w:style>
  <w:style w:type="character" w:styleId="a8">
    <w:name w:val="footnote reference"/>
    <w:basedOn w:val="a0"/>
    <w:uiPriority w:val="99"/>
    <w:unhideWhenUsed/>
    <w:rsid w:val="00ED438C"/>
    <w:rPr>
      <w:vertAlign w:val="superscript"/>
    </w:rPr>
  </w:style>
  <w:style w:type="character" w:customStyle="1" w:styleId="a4">
    <w:name w:val="Абзац списка Знак"/>
    <w:link w:val="a3"/>
    <w:uiPriority w:val="34"/>
    <w:locked/>
    <w:rsid w:val="00ED438C"/>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9417C"/>
    <w:rPr>
      <w:rFonts w:ascii="Times New Roman" w:eastAsia="Times New Roman" w:hAnsi="Times New Roman" w:cs="Times New Roman"/>
      <w:bCs/>
      <w:sz w:val="24"/>
      <w:szCs w:val="28"/>
    </w:rPr>
  </w:style>
  <w:style w:type="paragraph" w:customStyle="1" w:styleId="ConsPlusNormal">
    <w:name w:val="ConsPlusNormal"/>
    <w:link w:val="ConsPlusNormal0"/>
    <w:uiPriority w:val="99"/>
    <w:rsid w:val="002D1C9C"/>
    <w:pPr>
      <w:autoSpaceDE w:val="0"/>
      <w:autoSpaceDN w:val="0"/>
      <w:adjustRightInd w:val="0"/>
      <w:spacing w:after="0" w:line="240" w:lineRule="auto"/>
      <w:jc w:val="both"/>
    </w:pPr>
    <w:rPr>
      <w:rFonts w:ascii="Arial" w:eastAsia="Calibri" w:hAnsi="Arial" w:cs="Arial"/>
      <w:sz w:val="20"/>
      <w:szCs w:val="20"/>
    </w:rPr>
  </w:style>
  <w:style w:type="character" w:styleId="a9">
    <w:name w:val="Strong"/>
    <w:basedOn w:val="a0"/>
    <w:uiPriority w:val="22"/>
    <w:qFormat/>
    <w:rsid w:val="002D1C9C"/>
    <w:rPr>
      <w:b/>
      <w:bCs/>
    </w:rPr>
  </w:style>
  <w:style w:type="character" w:styleId="aa">
    <w:name w:val="Hyperlink"/>
    <w:basedOn w:val="a0"/>
    <w:uiPriority w:val="99"/>
    <w:semiHidden/>
    <w:unhideWhenUsed/>
    <w:rsid w:val="002D1C9C"/>
    <w:rPr>
      <w:color w:val="0000FF"/>
      <w:u w:val="single"/>
    </w:rPr>
  </w:style>
  <w:style w:type="character" w:customStyle="1" w:styleId="apple-converted-space">
    <w:name w:val="apple-converted-space"/>
    <w:basedOn w:val="a0"/>
    <w:rsid w:val="006F752A"/>
  </w:style>
  <w:style w:type="character" w:customStyle="1" w:styleId="80">
    <w:name w:val="Заголовок 8 Знак"/>
    <w:basedOn w:val="a0"/>
    <w:link w:val="8"/>
    <w:uiPriority w:val="9"/>
    <w:rsid w:val="00E40049"/>
    <w:rPr>
      <w:rFonts w:asciiTheme="majorHAnsi" w:eastAsiaTheme="majorEastAsia" w:hAnsiTheme="majorHAnsi" w:cstheme="majorBidi"/>
      <w:color w:val="404040" w:themeColor="text1" w:themeTint="BF"/>
      <w:sz w:val="20"/>
      <w:szCs w:val="20"/>
    </w:rPr>
  </w:style>
  <w:style w:type="character" w:customStyle="1" w:styleId="orgnum">
    <w:name w:val="orgnum"/>
    <w:basedOn w:val="a0"/>
    <w:rsid w:val="002B1B80"/>
  </w:style>
  <w:style w:type="character" w:customStyle="1" w:styleId="ConsPlusNormal0">
    <w:name w:val="ConsPlusNormal Знак"/>
    <w:link w:val="ConsPlusNormal"/>
    <w:uiPriority w:val="99"/>
    <w:locked/>
    <w:rsid w:val="002B1B80"/>
    <w:rPr>
      <w:rFonts w:ascii="Arial" w:eastAsia="Calibri" w:hAnsi="Arial" w:cs="Arial"/>
      <w:sz w:val="20"/>
      <w:szCs w:val="20"/>
    </w:rPr>
  </w:style>
  <w:style w:type="character" w:customStyle="1" w:styleId="Doc-">
    <w:name w:val="Doc-Т внутри нумерации Знак"/>
    <w:link w:val="Doc-0"/>
    <w:uiPriority w:val="99"/>
    <w:locked/>
    <w:rsid w:val="002B1B80"/>
    <w:rPr>
      <w:rFonts w:ascii="Times New Roman" w:hAnsi="Times New Roman" w:cs="Times New Roman"/>
    </w:rPr>
  </w:style>
  <w:style w:type="paragraph" w:customStyle="1" w:styleId="Doc-0">
    <w:name w:val="Doc-Т внутри нумерации"/>
    <w:basedOn w:val="a"/>
    <w:link w:val="Doc-"/>
    <w:uiPriority w:val="99"/>
    <w:rsid w:val="002B1B80"/>
    <w:pPr>
      <w:spacing w:after="0" w:line="360" w:lineRule="auto"/>
      <w:ind w:left="720" w:firstLine="709"/>
      <w:jc w:val="both"/>
    </w:pPr>
    <w:rPr>
      <w:rFonts w:ascii="Times New Roman" w:hAnsi="Times New Roman" w:cs="Times New Roman"/>
    </w:rPr>
  </w:style>
  <w:style w:type="character" w:customStyle="1" w:styleId="hps">
    <w:name w:val="hps"/>
    <w:basedOn w:val="a0"/>
    <w:rsid w:val="001148FF"/>
  </w:style>
  <w:style w:type="character" w:customStyle="1" w:styleId="20">
    <w:name w:val="Заголовок 2 Знак"/>
    <w:basedOn w:val="a0"/>
    <w:link w:val="2"/>
    <w:uiPriority w:val="9"/>
    <w:semiHidden/>
    <w:rsid w:val="007C2B67"/>
    <w:rPr>
      <w:rFonts w:asciiTheme="majorHAnsi" w:eastAsiaTheme="majorEastAsia" w:hAnsiTheme="majorHAnsi" w:cstheme="majorBidi"/>
      <w:b/>
      <w:bCs/>
      <w:color w:val="4F81BD" w:themeColor="accent1"/>
      <w:sz w:val="26"/>
      <w:szCs w:val="26"/>
    </w:rPr>
  </w:style>
  <w:style w:type="paragraph" w:styleId="ab">
    <w:name w:val="Normal (Web)"/>
    <w:basedOn w:val="a"/>
    <w:uiPriority w:val="99"/>
    <w:semiHidden/>
    <w:rsid w:val="00DF4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3F56"/>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 Spacing"/>
    <w:uiPriority w:val="1"/>
    <w:qFormat/>
    <w:rsid w:val="002E376C"/>
    <w:pPr>
      <w:spacing w:after="0" w:line="240" w:lineRule="auto"/>
    </w:pPr>
    <w:rPr>
      <w:rFonts w:ascii="Calibri" w:eastAsia="Calibri" w:hAnsi="Calibri" w:cs="Times New Roman"/>
      <w:lang w:eastAsia="en-US"/>
    </w:rPr>
  </w:style>
  <w:style w:type="paragraph" w:styleId="ad">
    <w:name w:val="header"/>
    <w:basedOn w:val="a"/>
    <w:link w:val="ae"/>
    <w:uiPriority w:val="99"/>
    <w:semiHidden/>
    <w:unhideWhenUsed/>
    <w:rsid w:val="004027E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027E8"/>
  </w:style>
  <w:style w:type="paragraph" w:styleId="af">
    <w:name w:val="footer"/>
    <w:basedOn w:val="a"/>
    <w:link w:val="af0"/>
    <w:uiPriority w:val="99"/>
    <w:semiHidden/>
    <w:unhideWhenUsed/>
    <w:rsid w:val="004027E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027E8"/>
  </w:style>
</w:styles>
</file>

<file path=word/webSettings.xml><?xml version="1.0" encoding="utf-8"?>
<w:webSettings xmlns:r="http://schemas.openxmlformats.org/officeDocument/2006/relationships" xmlns:w="http://schemas.openxmlformats.org/wordprocessingml/2006/main">
  <w:divs>
    <w:div w:id="903759995">
      <w:bodyDiv w:val="1"/>
      <w:marLeft w:val="0"/>
      <w:marRight w:val="0"/>
      <w:marTop w:val="0"/>
      <w:marBottom w:val="0"/>
      <w:divBdr>
        <w:top w:val="none" w:sz="0" w:space="0" w:color="auto"/>
        <w:left w:val="none" w:sz="0" w:space="0" w:color="auto"/>
        <w:bottom w:val="none" w:sz="0" w:space="0" w:color="auto"/>
        <w:right w:val="none" w:sz="0" w:space="0" w:color="auto"/>
      </w:divBdr>
    </w:div>
    <w:div w:id="184493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dnr.ru/wp-content/uploads/2019/05/8-3-ot-03.05.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avdnr.ru/wp-content/uploads/2019/05/9-2-ot-24.05.2019.pdf" TargetMode="External"/><Relationship Id="rId4" Type="http://schemas.openxmlformats.org/officeDocument/2006/relationships/settings" Target="settings.xml"/><Relationship Id="rId9" Type="http://schemas.openxmlformats.org/officeDocument/2006/relationships/hyperlink" Target="https://pravdnr.ru/wp-content/uploads/2019/06/10-5-ot-05.06.201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5738B-F1D3-44D1-988B-778855DA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1204</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Луценко</dc:creator>
  <cp:lastModifiedBy>User</cp:lastModifiedBy>
  <cp:revision>2</cp:revision>
  <cp:lastPrinted>2021-10-25T12:54:00Z</cp:lastPrinted>
  <dcterms:created xsi:type="dcterms:W3CDTF">2021-11-02T10:31:00Z</dcterms:created>
  <dcterms:modified xsi:type="dcterms:W3CDTF">2021-11-02T10:31:00Z</dcterms:modified>
</cp:coreProperties>
</file>